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330A587"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jc w:val="left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sz w:val="44"/>
          <w:szCs w:val="44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color w:val="000000"/>
          <w:sz w:val="32"/>
          <w:szCs w:val="32"/>
          <w:lang w:val="en-US" w:eastAsia="zh-CN"/>
        </w:rPr>
        <w:t>附件</w:t>
      </w:r>
      <w:r>
        <w:rPr>
          <w:rFonts w:hint="eastAsia" w:ascii="宋体" w:hAnsi="宋体" w:eastAsia="宋体" w:cs="宋体"/>
          <w:b w:val="0"/>
          <w:bCs w:val="0"/>
          <w:color w:val="000000"/>
          <w:sz w:val="32"/>
          <w:szCs w:val="32"/>
          <w:lang w:val="en-US" w:eastAsia="zh-CN"/>
        </w:rPr>
        <w:t>5</w:t>
      </w:r>
    </w:p>
    <w:p w14:paraId="45689F62"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sz w:val="44"/>
          <w:szCs w:val="44"/>
          <w:lang w:val="en-US" w:eastAsia="zh-CN"/>
        </w:rPr>
      </w:pPr>
    </w:p>
    <w:p w14:paraId="737F7600"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sz w:val="44"/>
          <w:szCs w:val="44"/>
          <w:lang w:val="en-US" w:eastAsia="zh-CN"/>
        </w:rPr>
        <w:t>具体本科大学名单</w:t>
      </w:r>
    </w:p>
    <w:p w14:paraId="1604A91E"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00" w:lineRule="exact"/>
        <w:jc w:val="center"/>
        <w:textAlignment w:val="auto"/>
        <w:rPr>
          <w:rFonts w:hint="default" w:ascii="方正小标宋_GBK" w:hAnsi="方正小标宋_GBK" w:eastAsia="方正小标宋_GBK" w:cs="方正小标宋_GBK"/>
          <w:b w:val="0"/>
          <w:bCs w:val="0"/>
          <w:color w:val="000000"/>
          <w:sz w:val="44"/>
          <w:szCs w:val="44"/>
          <w:lang w:val="en-US" w:eastAsia="zh-CN"/>
        </w:rPr>
      </w:pPr>
    </w:p>
    <w:p w14:paraId="1DEC444F"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18" w:firstLineChars="200"/>
        <w:jc w:val="both"/>
        <w:textAlignment w:val="auto"/>
        <w:rPr>
          <w:rFonts w:hint="eastAsia" w:ascii="宋体" w:hAnsi="宋体" w:eastAsia="黑体" w:cs="黑体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黑体" w:cs="黑体"/>
          <w:b w:val="0"/>
          <w:bCs w:val="0"/>
          <w:color w:val="000000" w:themeColor="text1"/>
          <w:kern w:val="0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一、</w:t>
      </w:r>
      <w:r>
        <w:rPr>
          <w:rFonts w:hint="eastAsia" w:ascii="宋体" w:hAnsi="宋体" w:eastAsia="黑体" w:cs="黑体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部属师范大学（6所）</w:t>
      </w:r>
    </w:p>
    <w:p w14:paraId="1C1485C8">
      <w:pPr>
        <w:pStyle w:val="5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18" w:firstLineChars="200"/>
        <w:jc w:val="both"/>
        <w:textAlignment w:val="auto"/>
        <w:rPr>
          <w:rFonts w:hint="eastAsia" w:ascii="宋体" w:hAnsi="宋体" w:eastAsia="方正仿宋_GBK" w:cs="方正仿宋_GBK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北京师范大学、东北师范大学、华东师范大学、华中师范大学、西南大学、陕西师范大学</w:t>
      </w:r>
    </w:p>
    <w:p w14:paraId="0D21E23B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18" w:firstLineChars="200"/>
        <w:jc w:val="both"/>
        <w:textAlignment w:val="auto"/>
        <w:outlineLvl w:val="0"/>
        <w:rPr>
          <w:rFonts w:hint="eastAsia" w:ascii="宋体" w:hAnsi="宋体" w:eastAsia="黑体" w:cs="黑体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黑体" w:cs="黑体"/>
          <w:b w:val="0"/>
          <w:bCs w:val="0"/>
          <w:color w:val="000000" w:themeColor="text1"/>
          <w:kern w:val="36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二、</w:t>
      </w:r>
      <w:r>
        <w:rPr>
          <w:rFonts w:hint="eastAsia" w:ascii="宋体" w:hAnsi="宋体" w:eastAsia="黑体" w:cs="黑体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“985工程”学校名单</w:t>
      </w:r>
      <w:r>
        <w:rPr>
          <w:rFonts w:hint="eastAsia" w:ascii="宋体" w:hAnsi="宋体" w:eastAsia="黑体" w:cs="黑体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宋体" w:hAnsi="宋体" w:eastAsia="黑体" w:cs="黑体"/>
          <w:b w:val="0"/>
          <w:bCs w:val="0"/>
          <w:color w:val="000000" w:themeColor="text1"/>
          <w:kern w:val="36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39所</w:t>
      </w:r>
      <w:r>
        <w:rPr>
          <w:rFonts w:hint="eastAsia" w:ascii="宋体" w:hAnsi="宋体" w:eastAsia="黑体" w:cs="黑体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 w14:paraId="67C03806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18" w:firstLineChars="200"/>
        <w:jc w:val="both"/>
        <w:textAlignment w:val="auto"/>
        <w:outlineLvl w:val="0"/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北京大学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中国人民大学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清华大学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北京航空航天大学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北京理工大学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中国农业大学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北京师范大学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中央民族大学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南开大学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天津大学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大连理工大学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东北大学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吉林大学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哈尔滨工业大学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复旦大学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同济大学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上海交通大学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华东师范大学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南京大学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东南大学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浙江大学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中国科学技术大学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厦门大学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山东大学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中国海洋大学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武汉大学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华中科技大学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湖南大学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中南大学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国防科学技术大学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中山大学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华南理工大学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四川大学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电子科技大学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重庆大学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西安交通大学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西北工业大学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西北农林科技大学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兰州大学</w:t>
      </w:r>
      <w:bookmarkStart w:id="0" w:name="OLE_LINK2"/>
      <w:bookmarkEnd w:id="0"/>
      <w:bookmarkStart w:id="1" w:name="OLE_LINK4"/>
      <w:bookmarkEnd w:id="1"/>
    </w:p>
    <w:p w14:paraId="70F301B4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18" w:firstLineChars="200"/>
        <w:jc w:val="both"/>
        <w:textAlignment w:val="auto"/>
        <w:outlineLvl w:val="0"/>
        <w:rPr>
          <w:rFonts w:hint="eastAsia" w:ascii="宋体" w:hAnsi="宋体" w:eastAsia="黑体" w:cs="黑体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黑体" w:cs="黑体"/>
          <w:b w:val="0"/>
          <w:bCs w:val="0"/>
          <w:color w:val="000000" w:themeColor="text1"/>
          <w:kern w:val="36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三、</w:t>
      </w:r>
      <w:r>
        <w:rPr>
          <w:rFonts w:hint="eastAsia" w:ascii="宋体" w:hAnsi="宋体" w:eastAsia="黑体" w:cs="黑体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“211工程”学校名单</w:t>
      </w:r>
      <w:r>
        <w:rPr>
          <w:rFonts w:hint="eastAsia" w:ascii="宋体" w:hAnsi="宋体" w:eastAsia="黑体" w:cs="黑体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宋体" w:hAnsi="宋体" w:eastAsia="黑体" w:cs="黑体"/>
          <w:b w:val="0"/>
          <w:bCs w:val="0"/>
          <w:color w:val="000000" w:themeColor="text1"/>
          <w:kern w:val="36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112所</w:t>
      </w:r>
      <w:r>
        <w:rPr>
          <w:rFonts w:hint="eastAsia" w:ascii="宋体" w:hAnsi="宋体" w:eastAsia="黑体" w:cs="黑体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 w14:paraId="4828073F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18" w:firstLineChars="200"/>
        <w:jc w:val="both"/>
        <w:textAlignment w:val="auto"/>
        <w:outlineLvl w:val="0"/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北京大学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中国人民大学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清华大学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北京交通大学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北京工业大学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北京航空航天大学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北京理工大学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北京科技大学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北京化工大学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北京邮电大学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中国农业大学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北京林业大学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北京中医药大学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北京师范大学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北京外国语大学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中国传媒大学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中央财经大学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对外经济贸易大学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北京体育大学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中央音乐学院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中央民族大学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中国政法大学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华北电力大学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南开大学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天津大学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天津医科大学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河北工业大学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太原理工大学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内蒙古大学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辽宁大学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大连理工大学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东北大学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大连海事大学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吉林大学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延边大学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东北师范大学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哈尔滨工业大学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哈尔滨工程大学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东北农业大学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东北林业大学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复旦大学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同济大学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上海交通大学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华东理工大学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东华大学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华东师范大学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上海外国语大学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上海财经大学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上海大学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第二军医大学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南京大学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苏州大学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东南大学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南京航空航天大学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南京理工大学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中国矿业大学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河海大学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江南大学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南京农业大学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中国药科大学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南京师范大学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浙江大学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安徽大学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中国科学技术大学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合肥工业大学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厦门大学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福州大学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南昌大学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山东大学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中国海洋大学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中国石油大学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郑州大学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武汉大学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华中科技大学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中国地质大学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武汉理工大学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华中农业大学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华中师范大学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中南财经政法大学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湖南大学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中南大学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湖南师范大学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国防科学技术大学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中山大学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暨南大学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华南理工大学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华南师范大学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广西大学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海南大学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四川大学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西南交通大学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电子科技大学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四川农业大学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西南财经大学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重庆大学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西南大学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贵州大学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云南大学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西藏大学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西北大学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西安交通大学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西北工业大学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西安电子科技大学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长安大学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西北农林科技大学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陕西师范大学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第四军医大学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兰州大学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青海大学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宁夏大学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新疆大学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石河子大学</w:t>
      </w:r>
    </w:p>
    <w:p w14:paraId="330BEFC5"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18" w:firstLineChars="200"/>
        <w:jc w:val="both"/>
        <w:textAlignment w:val="auto"/>
        <w:rPr>
          <w:rFonts w:hint="eastAsia" w:ascii="宋体" w:hAnsi="宋体" w:eastAsia="黑体" w:cs="黑体"/>
          <w:b w:val="0"/>
          <w:bCs w:val="0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黑体" w:cs="黑体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四、</w:t>
      </w:r>
      <w:r>
        <w:rPr>
          <w:rFonts w:hint="eastAsia" w:eastAsia="黑体" w:cs="黑体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“</w:t>
      </w:r>
      <w:r>
        <w:rPr>
          <w:rFonts w:hint="eastAsia" w:ascii="宋体" w:hAnsi="宋体" w:eastAsia="黑体" w:cs="黑体"/>
          <w:b w:val="0"/>
          <w:bC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双一流”建设高校名单</w:t>
      </w:r>
      <w:r>
        <w:rPr>
          <w:rFonts w:hint="eastAsia" w:eastAsia="黑体" w:cs="黑体"/>
          <w:b w:val="0"/>
          <w:bCs w:val="0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eastAsia="黑体" w:cs="黑体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137所</w:t>
      </w:r>
      <w:r>
        <w:rPr>
          <w:rFonts w:hint="eastAsia" w:eastAsia="黑体" w:cs="黑体"/>
          <w:b w:val="0"/>
          <w:bCs w:val="0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 w14:paraId="054CC5D7"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18" w:firstLineChars="200"/>
        <w:jc w:val="both"/>
        <w:textAlignment w:val="auto"/>
        <w:rPr>
          <w:rFonts w:hint="eastAsia" w:ascii="宋体" w:hAnsi="宋体" w:eastAsia="方正楷体_GBK" w:cs="方正楷体_GBK"/>
          <w:b w:val="0"/>
          <w:bCs w:val="0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方正楷体_GBK" w:cs="方正楷体_GBK"/>
          <w:b w:val="0"/>
          <w:bCs w:val="0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宋体" w:hAnsi="宋体" w:eastAsia="方正楷体_GBK" w:cs="方正楷体_GBK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</w:t>
      </w:r>
      <w:r>
        <w:rPr>
          <w:rFonts w:hint="eastAsia" w:ascii="宋体" w:hAnsi="宋体" w:eastAsia="方正楷体_GBK" w:cs="方正楷体_GBK"/>
          <w:b w:val="0"/>
          <w:bCs w:val="0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宋体" w:hAnsi="宋体" w:eastAsia="方正楷体_GBK" w:cs="方正楷体_GBK"/>
          <w:b w:val="0"/>
          <w:bC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一流大学建设高校</w:t>
      </w:r>
      <w:r>
        <w:rPr>
          <w:rFonts w:hint="eastAsia" w:eastAsia="方正楷体_GBK" w:cs="方正楷体_GBK"/>
          <w:b w:val="0"/>
          <w:bCs w:val="0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宋体" w:hAnsi="宋体" w:eastAsia="方正楷体_GBK" w:cs="方正楷体_GBK"/>
          <w:b w:val="0"/>
          <w:bC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42所</w:t>
      </w:r>
      <w:r>
        <w:rPr>
          <w:rFonts w:hint="eastAsia" w:eastAsia="方正楷体_GBK" w:cs="方正楷体_GBK"/>
          <w:b w:val="0"/>
          <w:bCs w:val="0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</w:p>
    <w:p w14:paraId="235EC93E"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18" w:firstLineChars="200"/>
        <w:jc w:val="both"/>
        <w:textAlignment w:val="auto"/>
        <w:rPr>
          <w:rFonts w:hint="eastAsia" w:ascii="宋体" w:hAnsi="宋体" w:eastAsia="方正仿宋_GBK" w:cs="方正仿宋_GBK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方正仿宋_GBK" w:cs="方正仿宋_GBK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1.A类36所</w:t>
      </w:r>
    </w:p>
    <w:p w14:paraId="502CFD43"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18" w:firstLineChars="200"/>
        <w:jc w:val="both"/>
        <w:textAlignment w:val="auto"/>
        <w:rPr>
          <w:rFonts w:hint="eastAsia" w:ascii="宋体" w:hAnsi="宋体" w:eastAsia="方正仿宋_GBK" w:cs="方正仿宋_GBK"/>
          <w:b w:val="0"/>
          <w:bC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北京大学、中国人民大学、清华大学、北京航空航天大学、北京理工大学、中国农业大学、北京师范大学、中央民族大学、南开大学、天津大学、大连理工大学、吉林大学、哈尔滨工业大学、复旦大学、同济大学、上海交通大学、华东师范大学、南京大学、东南大学、浙江大学、中国科学技术大学、厦门大学、山东大学、中国海洋大学、武汉大学、华中科技大学、中南大学、中山大学、华南理工大学、四川大学、重庆大学、电子科技大学、西安交通大学、西北工业大学、兰州大学、国防科技大学</w:t>
      </w:r>
    </w:p>
    <w:p w14:paraId="6164A673"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18" w:firstLineChars="200"/>
        <w:jc w:val="both"/>
        <w:textAlignment w:val="auto"/>
        <w:rPr>
          <w:rFonts w:hint="eastAsia" w:ascii="宋体" w:hAnsi="宋体" w:eastAsia="方正仿宋_GBK" w:cs="方正仿宋_GBK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方正仿宋_GBK" w:cs="方正仿宋_GBK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2.B类6所</w:t>
      </w:r>
    </w:p>
    <w:p w14:paraId="7B4BD848"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18" w:firstLineChars="200"/>
        <w:jc w:val="both"/>
        <w:textAlignment w:val="auto"/>
        <w:rPr>
          <w:rFonts w:hint="eastAsia" w:ascii="宋体" w:hAnsi="宋体" w:eastAsia="方正仿宋_GBK" w:cs="方正仿宋_GBK"/>
          <w:b w:val="0"/>
          <w:bC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东北大学、郑州大学、湖南大学、云南大学、西北农林科技大学、新疆大学</w:t>
      </w:r>
    </w:p>
    <w:p w14:paraId="6E753EF2"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18" w:firstLineChars="200"/>
        <w:jc w:val="both"/>
        <w:textAlignment w:val="auto"/>
        <w:rPr>
          <w:rFonts w:hint="eastAsia" w:ascii="宋体" w:hAnsi="宋体" w:eastAsia="方正仿宋_GBK" w:cs="方正仿宋_GBK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方正楷体_GBK" w:cs="方正楷体_GBK"/>
          <w:b w:val="0"/>
          <w:bCs w:val="0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（二）一流学科建设高校</w:t>
      </w:r>
      <w:r>
        <w:rPr>
          <w:rFonts w:hint="eastAsia" w:eastAsia="方正楷体_GBK" w:cs="方正楷体_GBK"/>
          <w:b w:val="0"/>
          <w:bCs w:val="0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宋体" w:hAnsi="宋体" w:eastAsia="方正楷体_GBK" w:cs="方正楷体_GBK"/>
          <w:b w:val="0"/>
          <w:bCs w:val="0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95所</w:t>
      </w:r>
      <w:r>
        <w:rPr>
          <w:rFonts w:hint="eastAsia" w:eastAsia="方正楷体_GBK" w:cs="方正楷体_GBK"/>
          <w:b w:val="0"/>
          <w:bCs w:val="0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  <w:bookmarkStart w:id="2" w:name="_GoBack"/>
      <w:bookmarkEnd w:id="2"/>
    </w:p>
    <w:p w14:paraId="54008CFA"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18" w:firstLineChars="200"/>
        <w:jc w:val="both"/>
        <w:textAlignment w:val="auto"/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北京交通大学、北京工业大学、北京科技大学、北京化工大学、北京邮电大学、北京林业大学、北京协和医学院、北京中医药大学、首都师范大学、北京外国语大学、中国传媒大学、中央财经大学、对外经济贸易大学、外交学院、中国人民公安大学、北京体育大学、中央音乐学院、中国音乐学院、中央美术学院、中央戏剧学院、中国政法大学、天津工业大学、天津医科大学、天津中医药大学、华北电力大学、河北工业大学、太原理工大学、内蒙古大学、辽宁大学、大连海事大学、延边大学、东北师范大学、哈尔滨工程大学、东北农业大学、东北林业大学、华东理工大学、东华大学、上海海洋大学、上海中医药大学、上海外国语大学、上海财经大学、上海体育学院、上海音乐学院、上海大学、苏州大学、南京航空航天大学、南京理工大学、中国矿业大学、南京邮电大学、河海大学、江南大学、南京林业大学、南京信息工程大学、南京农业大学、南京中医药大学、中国药科大学、南京师范大学、中国美术学院、安徽大学、合肥工业大学、福州大学、南昌大学、河南大学、中国地质大学、武汉理工大学、华中农业大学、华中师范大学、中南财经政法大学、湖南师范大学、暨南大学、广州中医药大学、华南师范大学、海南大学、广西大学、西南交通大学、西南石油大学、成都理工大学、四川农业大学、成都中医药大学、西南大学、西南财经大学、贵州大学、西藏大学、西北大学、西安电子科技大学、长安大学、陕西师范大学、青海大学、宁夏大学、石河子大学、中国石油大学、宁波大学、中国科学院大学、第二军医大学、第四军医大学</w:t>
      </w:r>
    </w:p>
    <w:p w14:paraId="1F2C5C23">
      <w:pPr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18" w:firstLineChars="200"/>
        <w:jc w:val="both"/>
        <w:textAlignment w:val="auto"/>
        <w:outlineLvl w:val="0"/>
        <w:rPr>
          <w:rFonts w:hint="eastAsia" w:ascii="宋体" w:hAnsi="宋体" w:eastAsia="黑体" w:cs="黑体"/>
          <w:b w:val="0"/>
          <w:bCs w:val="0"/>
          <w:color w:val="000000" w:themeColor="text1"/>
          <w:kern w:val="36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黑体" w:cs="黑体"/>
          <w:b w:val="0"/>
          <w:bCs w:val="0"/>
          <w:color w:val="000000" w:themeColor="text1"/>
          <w:kern w:val="36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四、部分</w:t>
      </w:r>
      <w:r>
        <w:rPr>
          <w:rFonts w:hint="eastAsia" w:ascii="宋体" w:hAnsi="宋体" w:eastAsia="黑体" w:cs="黑体"/>
          <w:b w:val="0"/>
          <w:bCs w:val="0"/>
          <w:color w:val="000000" w:themeColor="text1"/>
          <w:kern w:val="36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省部共建及重点师范大学（36所，排名不分先后）</w:t>
      </w:r>
    </w:p>
    <w:p w14:paraId="70DEEBB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18" w:firstLineChars="200"/>
        <w:jc w:val="both"/>
        <w:textAlignment w:val="auto"/>
        <w:rPr>
          <w:rFonts w:hint="eastAsia" w:ascii="宋体" w:hAnsi="宋体" w:eastAsia="方正仿宋_GBK" w:cs="方正仿宋_GBK"/>
          <w:b w:val="0"/>
          <w:bCs w:val="0"/>
          <w:color w:val="000000" w:themeColor="text1"/>
          <w:sz w:val="32"/>
          <w:szCs w:val="32"/>
          <w:highlight w:val="none"/>
          <w:lang w:val="en-US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河南师范大学、伊犁师范大学、贵州师范大学、云南师范大学、广西师范大学、江西师范大学、湖南师范大学、河北师范大学、海南师范大学、南京师范大学、江苏师范大学、天津职业技术师范大学、山东师范大学、华南师范大学、福建师范大学、西北师范大学、首都师范大学、安徽师范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2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、天津师范大学、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2"/>
          <w:sz w:val="32"/>
          <w:szCs w:val="32"/>
          <w:highlight w:val="none"/>
          <w:lang w:val="en-US" w:eastAsia="zh-CN" w:bidi="ar"/>
          <w14:textFill>
            <w14:solidFill>
              <w14:schemeClr w14:val="tx1"/>
            </w14:solidFill>
          </w14:textFill>
        </w:rPr>
        <w:t>上海师范大学、杭州师范大学、哈尔滨师范大学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2"/>
          <w:sz w:val="32"/>
          <w:szCs w:val="32"/>
          <w:highlight w:val="none"/>
          <w:lang w:val="en-US" w:eastAsia="zh-CN" w:bidi="ar"/>
          <w14:textFill>
            <w14:solidFill>
              <w14:schemeClr w14:val="tx1"/>
            </w14:solidFill>
          </w14:textFill>
        </w:rPr>
        <w:t>辽宁师范大学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2"/>
          <w:sz w:val="32"/>
          <w:szCs w:val="32"/>
          <w:highlight w:val="none"/>
          <w:lang w:val="en-US" w:eastAsia="zh-CN" w:bidi="ar"/>
          <w14:textFill>
            <w14:solidFill>
              <w14:schemeClr w14:val="tx1"/>
            </w14:solidFill>
          </w14:textFill>
        </w:rPr>
        <w:t>曲阜师范大学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2"/>
          <w:sz w:val="32"/>
          <w:szCs w:val="32"/>
          <w:highlight w:val="none"/>
          <w:lang w:val="en-US" w:eastAsia="zh-CN" w:bidi="ar"/>
          <w14:textFill>
            <w14:solidFill>
              <w14:schemeClr w14:val="tx1"/>
            </w14:solidFill>
          </w14:textFill>
        </w:rPr>
        <w:t>重庆师范大学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2"/>
          <w:sz w:val="32"/>
          <w:szCs w:val="32"/>
          <w:highlight w:val="none"/>
          <w:lang w:val="en-US" w:eastAsia="zh-CN" w:bidi="ar"/>
          <w14:textFill>
            <w14:solidFill>
              <w14:schemeClr w14:val="tx1"/>
            </w14:solidFill>
          </w14:textFill>
        </w:rPr>
        <w:t>新疆师范大学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2"/>
          <w:sz w:val="32"/>
          <w:szCs w:val="32"/>
          <w:highlight w:val="none"/>
          <w:lang w:val="en-US" w:eastAsia="zh-CN" w:bidi="ar"/>
          <w14:textFill>
            <w14:solidFill>
              <w14:schemeClr w14:val="tx1"/>
            </w14:solidFill>
          </w14:textFill>
        </w:rPr>
        <w:t>吉林师范大学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2"/>
          <w:sz w:val="32"/>
          <w:szCs w:val="32"/>
          <w:highlight w:val="none"/>
          <w:lang w:val="en-US" w:eastAsia="zh-CN" w:bidi="ar"/>
          <w14:textFill>
            <w14:solidFill>
              <w14:schemeClr w14:val="tx1"/>
            </w14:solidFill>
          </w14:textFill>
        </w:rPr>
        <w:t>西华师范大学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2"/>
          <w:sz w:val="32"/>
          <w:szCs w:val="32"/>
          <w:highlight w:val="none"/>
          <w:lang w:val="en-US" w:eastAsia="zh-CN" w:bidi="ar"/>
          <w14:textFill>
            <w14:solidFill>
              <w14:schemeClr w14:val="tx1"/>
            </w14:solidFill>
          </w14:textFill>
        </w:rPr>
        <w:t>青海师范大学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2"/>
          <w:sz w:val="32"/>
          <w:szCs w:val="32"/>
          <w:highlight w:val="none"/>
          <w:lang w:val="en-US" w:eastAsia="zh-CN" w:bidi="ar"/>
          <w14:textFill>
            <w14:solidFill>
              <w14:schemeClr w14:val="tx1"/>
            </w14:solidFill>
          </w14:textFill>
        </w:rPr>
        <w:t>山西师范大学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2"/>
          <w:sz w:val="32"/>
          <w:szCs w:val="32"/>
          <w:highlight w:val="none"/>
          <w:lang w:val="en-US" w:eastAsia="zh-CN" w:bidi="ar"/>
          <w14:textFill>
            <w14:solidFill>
              <w14:schemeClr w14:val="tx1"/>
            </w14:solidFill>
          </w14:textFill>
        </w:rPr>
        <w:t>淮北师范大学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2"/>
          <w:sz w:val="32"/>
          <w:szCs w:val="32"/>
          <w:highlight w:val="none"/>
          <w:lang w:val="en-US" w:eastAsia="zh-CN" w:bidi="ar"/>
          <w14:textFill>
            <w14:solidFill>
              <w14:schemeClr w14:val="tx1"/>
            </w14:solidFill>
          </w14:textFill>
        </w:rPr>
        <w:t>闽南师范大学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2"/>
          <w:sz w:val="32"/>
          <w:szCs w:val="32"/>
          <w:highlight w:val="none"/>
          <w:lang w:val="en-US" w:eastAsia="zh-CN" w:bidi="ar"/>
          <w14:textFill>
            <w14:solidFill>
              <w14:schemeClr w14:val="tx1"/>
            </w14:solidFill>
          </w14:textFill>
        </w:rPr>
        <w:t>四川师范大学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2"/>
          <w:sz w:val="32"/>
          <w:szCs w:val="32"/>
          <w:highlight w:val="none"/>
          <w:lang w:val="en-US" w:eastAsia="zh-CN" w:bidi="ar"/>
          <w14:textFill>
            <w14:solidFill>
              <w14:schemeClr w14:val="tx1"/>
            </w14:solidFill>
          </w14:textFill>
        </w:rPr>
        <w:t>内蒙古师范大学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2"/>
          <w:sz w:val="32"/>
          <w:szCs w:val="32"/>
          <w:highlight w:val="none"/>
          <w:lang w:val="en-US" w:eastAsia="zh-CN" w:bidi="ar"/>
          <w14:textFill>
            <w14:solidFill>
              <w14:schemeClr w14:val="tx1"/>
            </w14:solidFill>
          </w14:textFill>
        </w:rPr>
        <w:t>浙江师范大学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2"/>
          <w:sz w:val="32"/>
          <w:szCs w:val="32"/>
          <w:highlight w:val="none"/>
          <w:lang w:val="en-US" w:eastAsia="zh-CN" w:bidi="ar"/>
          <w14:textFill>
            <w14:solidFill>
              <w14:schemeClr w14:val="tx1"/>
            </w14:solidFill>
          </w14:textFill>
        </w:rPr>
        <w:t>湖北师范大学</w:t>
      </w:r>
    </w:p>
    <w:p w14:paraId="337D111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Chars="0"/>
        <w:jc w:val="both"/>
        <w:textAlignment w:val="auto"/>
        <w:rPr>
          <w:rFonts w:hint="eastAsia" w:ascii="宋体" w:hAnsi="宋体" w:eastAsia="方正仿宋_GBK" w:cs="方正仿宋_GBK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750FEB5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Chars="0"/>
        <w:jc w:val="both"/>
        <w:textAlignment w:val="auto"/>
        <w:rPr>
          <w:rFonts w:hint="eastAsia" w:ascii="宋体" w:hAnsi="宋体" w:eastAsia="方正仿宋_GBK" w:cs="方正仿宋_GBK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69D4C292">
      <w:pPr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auto"/>
        <w:outlineLvl w:val="0"/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36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20E355EC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auto"/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 </w:t>
      </w:r>
    </w:p>
    <w:p w14:paraId="6C9EAEFE"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jc w:val="both"/>
        <w:textAlignment w:val="auto"/>
        <w:rPr>
          <w:rFonts w:hint="eastAsia" w:ascii="宋体" w:hAnsi="宋体" w:eastAsia="方正仿宋_GBK" w:cs="方正仿宋_GBK"/>
          <w:b w:val="0"/>
          <w:bC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方正仿宋_GBK" w:cs="方正仿宋_GBK"/>
          <w:b w:val="0"/>
          <w:bCs w:val="0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 </w:t>
      </w:r>
    </w:p>
    <w:p w14:paraId="5C882EE3"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jc w:val="both"/>
        <w:textAlignment w:val="auto"/>
        <w:rPr>
          <w:rFonts w:hint="eastAsia" w:ascii="宋体" w:hAnsi="宋体" w:eastAsia="方正仿宋_GBK" w:cs="方正仿宋_GBK"/>
          <w:b w:val="0"/>
          <w:bC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3644D6BB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auto"/>
        <w:rPr>
          <w:rFonts w:hint="eastAsia" w:ascii="宋体" w:hAnsi="宋体" w:eastAsia="方正仿宋_GBK" w:cs="方正仿宋_GBK"/>
          <w:b w:val="0"/>
          <w:bC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sectPr>
      <w:footerReference r:id="rId3" w:type="default"/>
      <w:pgSz w:w="11906" w:h="16838"/>
      <w:pgMar w:top="2098" w:right="1588" w:bottom="1985" w:left="1588" w:header="1701" w:footer="1701" w:gutter="0"/>
      <w:pgNumType w:fmt="decimal"/>
      <w:cols w:space="425" w:num="1"/>
      <w:docGrid w:type="linesAndChars" w:linePitch="303" w:charSpace="-237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B833D2">
    <w:pPr>
      <w:pStyle w:val="3"/>
      <w:jc w:val="right"/>
      <w:rPr>
        <w:rFonts w:hint="eastAsia" w:asciiTheme="majorEastAsia" w:hAnsiTheme="majorEastAsia" w:eastAsiaTheme="majorEastAsia" w:cstheme="majorEastAsia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4D51CCC">
                          <w:pPr>
                            <w:pStyle w:val="3"/>
                            <w:jc w:val="right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4D51CCC">
                    <w:pPr>
                      <w:pStyle w:val="3"/>
                      <w:jc w:val="right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asciiTheme="majorEastAsia" w:hAnsiTheme="majorEastAsia" w:eastAsiaTheme="majorEastAsia" w:cstheme="majorEastAsia"/>
        <w:sz w:val="28"/>
        <w:szCs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2AD2AE7"/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2AD2AE7"/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99"/>
  <w:drawingGridVerticalSpacing w:val="30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ZlNzI5YjFhMzFlOGIwYTg3N2M1MGVjYjliZWI1OTYifQ=="/>
  </w:docVars>
  <w:rsids>
    <w:rsidRoot w:val="0090495F"/>
    <w:rsid w:val="00027C10"/>
    <w:rsid w:val="005469B9"/>
    <w:rsid w:val="006573F3"/>
    <w:rsid w:val="0090495F"/>
    <w:rsid w:val="00EF6A93"/>
    <w:rsid w:val="00F92C5B"/>
    <w:rsid w:val="01E85D94"/>
    <w:rsid w:val="06895399"/>
    <w:rsid w:val="0B6369F6"/>
    <w:rsid w:val="0CB51A76"/>
    <w:rsid w:val="11EE551A"/>
    <w:rsid w:val="19935027"/>
    <w:rsid w:val="1F6555BC"/>
    <w:rsid w:val="2D9E4191"/>
    <w:rsid w:val="2E253FBB"/>
    <w:rsid w:val="36525B04"/>
    <w:rsid w:val="3E8617C4"/>
    <w:rsid w:val="41F94EC4"/>
    <w:rsid w:val="446E4399"/>
    <w:rsid w:val="475713DB"/>
    <w:rsid w:val="4BF159DB"/>
    <w:rsid w:val="541A3254"/>
    <w:rsid w:val="6F5F7D9D"/>
    <w:rsid w:val="7ACA7190"/>
    <w:rsid w:val="7C9F0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Calibr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8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cs="Times New Roman"/>
      <w:kern w:val="2"/>
      <w:sz w:val="21"/>
      <w:szCs w:val="22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8">
    <w:name w:val="标题 1 Char"/>
    <w:basedOn w:val="7"/>
    <w:link w:val="2"/>
    <w:qFormat/>
    <w:uiPriority w:val="9"/>
    <w:rPr>
      <w:b/>
      <w:bCs/>
      <w:kern w:val="44"/>
      <w:sz w:val="44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2284</Words>
  <Characters>2302</Characters>
  <Lines>14</Lines>
  <Paragraphs>3</Paragraphs>
  <TotalTime>20</TotalTime>
  <ScaleCrop>false</ScaleCrop>
  <LinksUpToDate>false</LinksUpToDate>
  <CharactersWithSpaces>2307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2024-09-18T02:04:00Z</dcterms:created>
  <dc:creator>sweet</dc:creator>
  <cp:lastModifiedBy>sweet</cp:lastModifiedBy>
  <cp:lastPrinted>2024-09-30T04:00:12Z</cp:lastPrinted>
  <dcterms:modified xsi:type="dcterms:W3CDTF">2024-09-30T04:17:00Z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CAA2BDD48B00427ABB4E37F16EFEDC10_13</vt:lpwstr>
  </property>
</Properties>
</file>